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48" w:type="dxa"/>
        <w:jc w:val="center"/>
        <w:tblLook w:val="04A0" w:firstRow="1" w:lastRow="0" w:firstColumn="1" w:lastColumn="0" w:noHBand="0" w:noVBand="1"/>
      </w:tblPr>
      <w:tblGrid>
        <w:gridCol w:w="6946"/>
        <w:gridCol w:w="2902"/>
      </w:tblGrid>
      <w:tr w:rsidR="00C7678C">
        <w:trPr>
          <w:jc w:val="center"/>
        </w:trPr>
        <w:tc>
          <w:tcPr>
            <w:tcW w:w="6945" w:type="dxa"/>
          </w:tcPr>
          <w:p w:rsidR="00C7678C" w:rsidRDefault="005C6FDC">
            <w:pPr>
              <w:tabs>
                <w:tab w:val="left" w:pos="284"/>
                <w:tab w:val="right" w:pos="9638"/>
              </w:tabs>
              <w:jc w:val="center"/>
              <w:rPr>
                <w:i/>
                <w:sz w:val="22"/>
                <w:lang w:val="it-IT" w:eastAsia="it-IT"/>
              </w:rPr>
            </w:pPr>
            <w:r>
              <w:rPr>
                <w:noProof/>
              </w:rPr>
              <w:drawing>
                <wp:inline distT="0" distB="0" distL="0" distR="0">
                  <wp:extent cx="457200" cy="501650"/>
                  <wp:effectExtent l="0" t="0" r="0" b="0"/>
                  <wp:docPr id="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-197" t="-177" r="-197" b="-1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01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7678C" w:rsidRDefault="005C6FD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/>
                <w:sz w:val="22"/>
                <w:lang w:val="it-IT" w:eastAsia="zh-CN"/>
              </w:rPr>
            </w:pPr>
            <w:r>
              <w:rPr>
                <w:i/>
                <w:sz w:val="22"/>
                <w:szCs w:val="22"/>
                <w:lang w:val="it-IT" w:eastAsia="it-IT"/>
              </w:rPr>
              <w:t>Ministero dell’istruzione e del merito</w:t>
            </w:r>
          </w:p>
          <w:p w:rsidR="00C7678C" w:rsidRDefault="005C6FD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/>
                <w:sz w:val="22"/>
                <w:lang w:val="it-IT" w:eastAsia="zh-CN"/>
              </w:rPr>
            </w:pPr>
            <w:r>
              <w:rPr>
                <w:b/>
                <w:sz w:val="22"/>
                <w:szCs w:val="22"/>
                <w:lang w:val="it-IT" w:eastAsia="it-IT"/>
              </w:rPr>
              <w:t>CENTRO PROVINCIALE ISTRUZIONE ADULTI DI UDINE</w:t>
            </w:r>
          </w:p>
          <w:p w:rsidR="00C7678C" w:rsidRDefault="005C6FDC">
            <w:pPr>
              <w:jc w:val="center"/>
              <w:rPr>
                <w:rFonts w:ascii="Calibri" w:eastAsia="Calibri" w:hAnsi="Calibri"/>
                <w:sz w:val="22"/>
                <w:lang w:val="it-IT" w:eastAsia="zh-CN"/>
              </w:rPr>
            </w:pPr>
            <w:r>
              <w:rPr>
                <w:b/>
                <w:sz w:val="13"/>
                <w:szCs w:val="13"/>
                <w:lang w:val="it-IT" w:eastAsia="it-IT"/>
              </w:rPr>
              <w:t xml:space="preserve"> UDINE  - CIVIDALE DEL FRIULI – CODROIPO – GEMONA DEL FRIULI -  SAN GIORGIO DI N. – TOLMEZZO </w:t>
            </w:r>
          </w:p>
          <w:p w:rsidR="00C7678C" w:rsidRDefault="005C6FDC">
            <w:pPr>
              <w:jc w:val="center"/>
              <w:rPr>
                <w:rFonts w:ascii="Calibri" w:eastAsia="Calibri" w:hAnsi="Calibri"/>
                <w:sz w:val="22"/>
                <w:lang w:val="it-IT" w:eastAsia="zh-CN"/>
              </w:rPr>
            </w:pPr>
            <w:r>
              <w:rPr>
                <w:b/>
                <w:i/>
                <w:sz w:val="16"/>
                <w:szCs w:val="16"/>
                <w:lang w:val="it-IT" w:eastAsia="it-IT"/>
              </w:rPr>
              <w:t>Via Diaz n° 60  – 33100 UDINE  (UD) – telefono 0432500634</w:t>
            </w:r>
          </w:p>
          <w:p w:rsidR="00C7678C" w:rsidRDefault="005C6FDC">
            <w:pPr>
              <w:jc w:val="center"/>
              <w:rPr>
                <w:rFonts w:ascii="Calibri" w:eastAsia="Calibri" w:hAnsi="Calibri"/>
                <w:sz w:val="22"/>
                <w:lang w:val="it-IT" w:eastAsia="zh-CN"/>
              </w:rPr>
            </w:pPr>
            <w:r>
              <w:rPr>
                <w:i/>
                <w:sz w:val="16"/>
                <w:szCs w:val="16"/>
                <w:lang w:val="it-IT" w:eastAsia="it-IT"/>
              </w:rPr>
              <w:t xml:space="preserve">Codice fiscale </w:t>
            </w:r>
            <w:r>
              <w:rPr>
                <w:sz w:val="16"/>
                <w:szCs w:val="16"/>
                <w:lang w:val="it-IT" w:eastAsia="it-IT"/>
              </w:rPr>
              <w:t xml:space="preserve">94134770307 - </w:t>
            </w:r>
            <w:r>
              <w:rPr>
                <w:i/>
                <w:sz w:val="16"/>
                <w:szCs w:val="16"/>
                <w:lang w:val="it-IT" w:eastAsia="it-IT"/>
              </w:rPr>
              <w:t>Codice Scuola – UDMM098007</w:t>
            </w:r>
          </w:p>
          <w:p w:rsidR="00C7678C" w:rsidRDefault="005C6FDC">
            <w:pPr>
              <w:jc w:val="center"/>
              <w:rPr>
                <w:i/>
                <w:color w:val="0000FF"/>
                <w:sz w:val="16"/>
                <w:szCs w:val="16"/>
                <w:lang w:val="it-IT" w:eastAsia="zh-CN"/>
              </w:rPr>
            </w:pPr>
            <w:r>
              <w:rPr>
                <w:i/>
                <w:sz w:val="16"/>
                <w:szCs w:val="16"/>
                <w:lang w:val="it-IT" w:eastAsia="it-IT"/>
              </w:rPr>
              <w:t xml:space="preserve"> e-mail: </w:t>
            </w:r>
            <w:hyperlink r:id="rId9">
              <w:r>
                <w:rPr>
                  <w:color w:val="0000FF"/>
                  <w:sz w:val="16"/>
                  <w:szCs w:val="16"/>
                  <w:u w:val="single"/>
                  <w:lang w:val="it-IT" w:eastAsia="it-IT"/>
                </w:rPr>
                <w:t>UDMM098007@istruzione.it</w:t>
              </w:r>
            </w:hyperlink>
            <w:r>
              <w:rPr>
                <w:i/>
                <w:sz w:val="16"/>
                <w:szCs w:val="16"/>
                <w:lang w:val="it-IT" w:eastAsia="it-IT"/>
              </w:rPr>
              <w:t xml:space="preserve"> Posta certificata: - </w:t>
            </w:r>
            <w:hyperlink r:id="rId10">
              <w:r>
                <w:rPr>
                  <w:color w:val="0000FF"/>
                  <w:sz w:val="16"/>
                  <w:szCs w:val="16"/>
                  <w:u w:val="single"/>
                  <w:lang w:val="it-IT" w:eastAsia="it-IT"/>
                </w:rPr>
                <w:t>UDMM098007@pec.istruzione.it</w:t>
              </w:r>
            </w:hyperlink>
          </w:p>
          <w:p w:rsidR="00C7678C" w:rsidRDefault="005C6FDC">
            <w:pPr>
              <w:tabs>
                <w:tab w:val="left" w:pos="708"/>
                <w:tab w:val="center" w:pos="4819"/>
                <w:tab w:val="right" w:pos="9638"/>
              </w:tabs>
              <w:jc w:val="center"/>
              <w:rPr>
                <w:rFonts w:ascii="Century Gothic" w:hAnsi="Century Gothic" w:cs="Century Gothic"/>
                <w:b/>
                <w:spacing w:val="3"/>
                <w:kern w:val="2"/>
                <w:sz w:val="20"/>
                <w:szCs w:val="20"/>
                <w:lang w:val="en-GB" w:eastAsia="it-IT"/>
              </w:rPr>
            </w:pPr>
            <w:r>
              <w:rPr>
                <w:i/>
                <w:color w:val="0000FF"/>
                <w:sz w:val="16"/>
                <w:szCs w:val="16"/>
                <w:lang w:eastAsia="zh-CN"/>
              </w:rPr>
              <w:t xml:space="preserve">Sito web </w:t>
            </w:r>
            <w:hyperlink r:id="rId11">
              <w:r>
                <w:rPr>
                  <w:i/>
                  <w:color w:val="0000FF"/>
                  <w:sz w:val="16"/>
                  <w:szCs w:val="16"/>
                  <w:u w:val="single"/>
                  <w:lang w:eastAsia="zh-CN"/>
                </w:rPr>
                <w:t>www.cpiaudine.edu.it</w:t>
              </w:r>
            </w:hyperlink>
          </w:p>
        </w:tc>
        <w:tc>
          <w:tcPr>
            <w:tcW w:w="2902" w:type="dxa"/>
          </w:tcPr>
          <w:p w:rsidR="00C7678C" w:rsidRDefault="00C7678C">
            <w:pPr>
              <w:tabs>
                <w:tab w:val="left" w:pos="284"/>
                <w:tab w:val="left" w:pos="1021"/>
                <w:tab w:val="left" w:pos="7825"/>
              </w:tabs>
              <w:snapToGrid w:val="0"/>
              <w:jc w:val="center"/>
              <w:rPr>
                <w:rFonts w:ascii="Century Gothic" w:hAnsi="Century Gothic" w:cs="Century Gothic"/>
                <w:b/>
                <w:sz w:val="20"/>
                <w:szCs w:val="20"/>
                <w:lang w:val="en-GB" w:eastAsia="it-IT"/>
              </w:rPr>
            </w:pPr>
          </w:p>
          <w:p w:rsidR="00C7678C" w:rsidRDefault="00C7678C">
            <w:pPr>
              <w:tabs>
                <w:tab w:val="left" w:pos="284"/>
                <w:tab w:val="left" w:pos="1021"/>
                <w:tab w:val="left" w:pos="7825"/>
              </w:tabs>
              <w:jc w:val="center"/>
              <w:rPr>
                <w:rFonts w:ascii="Arial" w:hAnsi="Arial" w:cs="Arial"/>
                <w:b/>
                <w:szCs w:val="20"/>
                <w:lang w:val="en-GB" w:eastAsia="zh-CN"/>
              </w:rPr>
            </w:pPr>
          </w:p>
          <w:p w:rsidR="00C7678C" w:rsidRDefault="00C7678C">
            <w:pPr>
              <w:tabs>
                <w:tab w:val="left" w:pos="284"/>
                <w:tab w:val="left" w:pos="1021"/>
                <w:tab w:val="left" w:pos="7825"/>
              </w:tabs>
              <w:jc w:val="center"/>
              <w:rPr>
                <w:rFonts w:ascii="Arial" w:hAnsi="Arial" w:cs="Arial"/>
                <w:szCs w:val="20"/>
                <w:lang w:val="en-GB" w:eastAsia="zh-CN"/>
              </w:rPr>
            </w:pPr>
          </w:p>
          <w:p w:rsidR="00C7678C" w:rsidRDefault="005C6FDC">
            <w:pPr>
              <w:tabs>
                <w:tab w:val="left" w:pos="284"/>
                <w:tab w:val="left" w:pos="1021"/>
                <w:tab w:val="left" w:pos="782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2"/>
                <w:lang w:val="it-IT" w:eastAsia="it-IT"/>
              </w:rPr>
            </w:pPr>
            <w:r>
              <w:rPr>
                <w:noProof/>
              </w:rPr>
              <w:drawing>
                <wp:inline distT="0" distB="0" distL="0" distR="0">
                  <wp:extent cx="946150" cy="654050"/>
                  <wp:effectExtent l="0" t="0" r="0" b="0"/>
                  <wp:docPr id="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-47" t="-52" r="-47" b="-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0" cy="654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678C">
        <w:trPr>
          <w:jc w:val="center"/>
        </w:trPr>
        <w:tc>
          <w:tcPr>
            <w:tcW w:w="6945" w:type="dxa"/>
          </w:tcPr>
          <w:p w:rsidR="00C7678C" w:rsidRDefault="00C7678C">
            <w:pPr>
              <w:tabs>
                <w:tab w:val="left" w:pos="284"/>
                <w:tab w:val="right" w:pos="9638"/>
              </w:tabs>
              <w:jc w:val="center"/>
              <w:rPr>
                <w:rFonts w:ascii="Calibri" w:eastAsia="Calibri" w:hAnsi="Calibri" w:cs="Calibri"/>
                <w:sz w:val="22"/>
                <w:lang w:val="it-IT"/>
              </w:rPr>
            </w:pPr>
          </w:p>
        </w:tc>
        <w:tc>
          <w:tcPr>
            <w:tcW w:w="2902" w:type="dxa"/>
          </w:tcPr>
          <w:p w:rsidR="00C7678C" w:rsidRDefault="00C7678C">
            <w:pPr>
              <w:tabs>
                <w:tab w:val="left" w:pos="284"/>
                <w:tab w:val="left" w:pos="1021"/>
                <w:tab w:val="left" w:pos="7825"/>
              </w:tabs>
              <w:snapToGrid w:val="0"/>
              <w:jc w:val="center"/>
              <w:rPr>
                <w:rFonts w:ascii="Century Gothic" w:hAnsi="Century Gothic" w:cs="Century Gothic"/>
                <w:b/>
                <w:sz w:val="20"/>
                <w:szCs w:val="20"/>
                <w:lang w:val="en-GB" w:eastAsia="it-IT"/>
              </w:rPr>
            </w:pPr>
          </w:p>
        </w:tc>
      </w:tr>
      <w:tr w:rsidR="00C7678C">
        <w:trPr>
          <w:trHeight w:val="80"/>
          <w:jc w:val="center"/>
        </w:trPr>
        <w:tc>
          <w:tcPr>
            <w:tcW w:w="6945" w:type="dxa"/>
          </w:tcPr>
          <w:p w:rsidR="00C7678C" w:rsidRDefault="005C6FDC">
            <w:pPr>
              <w:tabs>
                <w:tab w:val="left" w:pos="284"/>
                <w:tab w:val="right" w:pos="9638"/>
              </w:tabs>
              <w:rPr>
                <w:rFonts w:eastAsia="Calibri"/>
                <w:sz w:val="20"/>
                <w:szCs w:val="20"/>
                <w:lang w:val="it-IT"/>
              </w:rPr>
            </w:pPr>
            <w:r>
              <w:rPr>
                <w:rFonts w:eastAsia="Calibri"/>
                <w:sz w:val="20"/>
                <w:szCs w:val="20"/>
                <w:lang w:val="it-IT"/>
              </w:rPr>
              <w:t>Prot. n. ( vedi segnatura)</w:t>
            </w:r>
          </w:p>
        </w:tc>
        <w:tc>
          <w:tcPr>
            <w:tcW w:w="2902" w:type="dxa"/>
          </w:tcPr>
          <w:p w:rsidR="00C7678C" w:rsidRDefault="005C6FDC">
            <w:pPr>
              <w:tabs>
                <w:tab w:val="left" w:pos="284"/>
                <w:tab w:val="left" w:pos="1021"/>
                <w:tab w:val="left" w:pos="7825"/>
              </w:tabs>
              <w:snapToGrid w:val="0"/>
              <w:rPr>
                <w:sz w:val="20"/>
                <w:szCs w:val="20"/>
                <w:lang w:val="en-GB" w:eastAsia="it-IT"/>
              </w:rPr>
            </w:pPr>
            <w:r>
              <w:rPr>
                <w:sz w:val="20"/>
                <w:szCs w:val="20"/>
                <w:lang w:val="en-GB" w:eastAsia="it-IT"/>
              </w:rPr>
              <w:t>Udine, (vedi segnatura)</w:t>
            </w:r>
          </w:p>
        </w:tc>
      </w:tr>
    </w:tbl>
    <w:p w:rsidR="00C7678C" w:rsidRDefault="00C7678C">
      <w:pPr>
        <w:spacing w:before="120" w:after="120"/>
        <w:rPr>
          <w:sz w:val="22"/>
          <w:szCs w:val="22"/>
        </w:rPr>
      </w:pPr>
    </w:p>
    <w:tbl>
      <w:tblPr>
        <w:tblpPr w:leftFromText="180" w:rightFromText="180" w:vertAnchor="text" w:horzAnchor="margin" w:tblpY="117"/>
        <w:tblW w:w="962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8"/>
      </w:tblGrid>
      <w:tr w:rsidR="00C7678C">
        <w:tc>
          <w:tcPr>
            <w:tcW w:w="962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7678C" w:rsidRDefault="005C6FDC">
            <w:pPr>
              <w:shd w:val="clear" w:color="auto" w:fill="FFFFFF"/>
              <w:spacing w:line="276" w:lineRule="auto"/>
              <w:ind w:left="851" w:hanging="851"/>
              <w:jc w:val="both"/>
              <w:rPr>
                <w:b/>
                <w:bCs/>
                <w:lang w:eastAsia="it-IT"/>
              </w:rPr>
            </w:pPr>
            <w:r>
              <w:rPr>
                <w:b/>
                <w:bCs/>
                <w:lang w:eastAsia="it-IT"/>
              </w:rPr>
              <w:t>TITOLO DEL PROGETTO: Tutti a scuola!</w:t>
            </w:r>
          </w:p>
          <w:p w:rsidR="00C7678C" w:rsidRDefault="005C6FDC">
            <w:pPr>
              <w:shd w:val="clear" w:color="auto" w:fill="FFFFFF"/>
              <w:spacing w:line="276" w:lineRule="auto"/>
              <w:ind w:left="851" w:hanging="851"/>
              <w:jc w:val="both"/>
              <w:rPr>
                <w:b/>
                <w:bCs/>
                <w:lang w:eastAsia="it-IT"/>
              </w:rPr>
            </w:pPr>
            <w:r>
              <w:rPr>
                <w:b/>
                <w:bCs/>
                <w:lang w:eastAsia="it-IT"/>
              </w:rPr>
              <w:t>CUP B24D21000140006</w:t>
            </w:r>
          </w:p>
          <w:p w:rsidR="00C7678C" w:rsidRDefault="005C6FDC">
            <w:pPr>
              <w:shd w:val="clear" w:color="auto" w:fill="FFFFFF"/>
              <w:spacing w:line="276" w:lineRule="auto"/>
              <w:ind w:left="851" w:hanging="851"/>
              <w:jc w:val="both"/>
              <w:rPr>
                <w:b/>
                <w:bCs/>
                <w:lang w:eastAsia="it-IT"/>
              </w:rPr>
            </w:pPr>
            <w:r>
              <w:rPr>
                <w:b/>
                <w:bCs/>
                <w:lang w:eastAsia="it-IT"/>
              </w:rPr>
              <w:t>Codice identificativo progetto: M4C1I1.4-2024-1322-P-46709</w:t>
            </w:r>
          </w:p>
          <w:p w:rsidR="00C7678C" w:rsidRDefault="005C6FDC">
            <w:pPr>
              <w:spacing w:before="120" w:after="120"/>
              <w:contextualSpacing/>
              <w:jc w:val="center"/>
              <w:rPr>
                <w:b/>
                <w:bCs/>
                <w:sz w:val="22"/>
                <w:lang w:val="it-IT"/>
              </w:rPr>
            </w:pPr>
            <w:r>
              <w:rPr>
                <w:noProof/>
              </w:rPr>
              <w:pict>
                <v:rect id="Cornice1" o:spid="_x0000_s1026" style="position:absolute;left:0;text-align:left;margin-left:-3.5pt;margin-top:5.85pt;width:481.65pt;height:265.85pt;z-index:5;visibility:visible;mso-wrap-style:square;mso-wrap-distance-left:9pt;mso-wrap-distance-top:0;mso-wrap-distance-right:9pt;mso-wrap-distance-bottom:8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5yc2AEAAA8EAAAOAAAAZHJzL2Uyb0RvYy54bWysU9tu2zAMfR/QfxD0vthO1nQw4hRDiw4D&#10;iq1Ytw+QZSkWoBsoNXb+fpTsuOv21KIvMkXxkDyH9O56NJocBQTlbEOrVUmJsNx1yh4a+vvX3cfP&#10;lITIbMe0s6KhJxHo9f7iw27wtVi73ulOAMEkNtSDb2gfo6+LIvBeGBZWzguLj9KBYRGvcCg6YANm&#10;N7pYl+W2GBx0HhwXIaD3dnqk+5xfSsHjDymDiEQ3FHuL+YR8tuks9jtWH4D5XvG5DfaGLgxTFosu&#10;qW5ZZOQJ1H+pjOLggpNxxZ0pnJSKi8wB2VTlP2wee+ZF5oLiBL/IFN4vLf9+fACiuoZuKLHM4Ihu&#10;HFjsqkraDD7UGPLoH2C+BTQT0VGCSV+kQMas52nRU4yRcHRuq2r7qUTZOb5tNleXV+usePEM9xDi&#10;V+EMSUZDAQeWdWTH+xCxJIaeQ1I16+6U1nlo2r5wYGDyFKnjqcdsxZMWKU7bn0Iiz9xqcgQOh/ZG&#10;A5mWAbcV+zyvRE6GgBQoseArsTMkoUXewVfiF1Cu72xc8EZZB2kwE8+JXSIax3acJ9S67oQz1d8s&#10;7kna+bMBZ6OdjayD//IUUdUsdso0wecKuHV5BvMfktb673uOev6P938AAAD//wMAUEsDBBQABgAI&#10;AAAAIQAAV6VR4AAAAAkBAAAPAAAAZHJzL2Rvd25yZXYueG1sTI/NTsMwEITvSLyDtUhcUOv0vw1x&#10;KoTUGxJq4NDe3HiJA/E6it0m8PRsT3CcndXMN9l2cI24YBdqTwom4wQEUulNTZWC97fdaA0iRE1G&#10;N55QwTcG2Oa3N5lOje9pj5ciVoJDKKRagY2xTaUMpUWnw9i3SOx9+M7pyLKrpOl0z+GukdMkWUqn&#10;a+IGq1t8tlh+FWenYPd6qJF+5P5hs+79Zzk9FvalVer+bnh6BBFxiH/PcMVndMiZ6eTPZIJoFIxW&#10;PCXyfbICwf5msZyBOClYzGdzkHkm/y/IfwEAAP//AwBQSwECLQAUAAYACAAAACEAtoM4kv4AAADh&#10;AQAAEwAAAAAAAAAAAAAAAAAAAAAAW0NvbnRlbnRfVHlwZXNdLnhtbFBLAQItABQABgAIAAAAIQA4&#10;/SH/1gAAAJQBAAALAAAAAAAAAAAAAAAAAC8BAABfcmVscy8ucmVsc1BLAQItABQABgAIAAAAIQD5&#10;q5yc2AEAAA8EAAAOAAAAAAAAAAAAAAAAAC4CAABkcnMvZTJvRG9jLnhtbFBLAQItABQABgAIAAAA&#10;IQAAV6VR4AAAAAkBAAAPAAAAAAAAAAAAAAAAADIEAABkcnMvZG93bnJldi54bWxQSwUGAAAAAAQA&#10;BADzAAAAPwUAAAAA&#10;" filled="f" stroked="f">
                  <v:textbox style="mso-fit-shape-to-text:t" inset="0,0,0,0">
                    <w:txbxContent>
                      <w:tbl>
                        <w:tblPr>
                          <w:tblW w:w="9630" w:type="dxa"/>
                          <w:tblInd w:w="70" w:type="dxa"/>
                          <w:tblCellMar>
                            <w:left w:w="70" w:type="dxa"/>
                            <w:right w:w="7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630"/>
                        </w:tblGrid>
                        <w:tr w:rsidR="00C7678C">
                          <w:tc>
                            <w:tcPr>
                              <w:tcW w:w="9630" w:type="dxa"/>
                              <w:tcBorders>
                                <w:top w:val="double" w:sz="4" w:space="0" w:color="000000"/>
                                <w:left w:val="double" w:sz="4" w:space="0" w:color="000000"/>
                                <w:bottom w:val="double" w:sz="4" w:space="0" w:color="000000"/>
                                <w:right w:val="double" w:sz="4" w:space="0" w:color="000000"/>
                              </w:tcBorders>
                            </w:tcPr>
                            <w:p w:rsidR="00C7678C" w:rsidRDefault="005C6FDC">
                              <w:pPr>
                                <w:pStyle w:val="Contenutocornice"/>
                                <w:jc w:val="both"/>
                                <w:rPr>
                                  <w:bCs/>
                                  <w:lang w:eastAsia="it-IT"/>
                                </w:rPr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Oggetto: </w:t>
                              </w:r>
                              <w:r>
                                <w:rPr>
                                  <w:rFonts w:eastAsia="Calibri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eastAsia="Calibri"/>
                                  <w:bCs/>
                                </w:rPr>
                                <w:t>dichiarazione inesistenza incompatibilità ai sensi di quanto previsto dal D.LGS n.39/2013 e dall’art.53, del D.LGS n.165/2001 quale componente della commissione istituita con</w:t>
                              </w:r>
                              <w:r>
                                <w:t xml:space="preserve"> Decreto n. ) per la  </w:t>
                              </w:r>
                              <w:r>
                                <w:rPr>
                                  <w:bCs/>
                                  <w:lang w:eastAsia="it-IT"/>
                                </w:rPr>
                                <w:t xml:space="preserve">selezione </w:t>
                              </w:r>
                              <w:r>
                                <w:t xml:space="preserve"> di docenti interni, interni ad altre is</w:t>
                              </w:r>
                              <w:r>
                                <w:t>tituzioni scolastiche ed esterni per la realizzazione di Percorsi di mentoring e orientamento personalizzato nell’ambito del Piano Nazionale di Ripresa e Resilienza (PNRR) – Riduzione dei divari negli apprendimenti e contrasto alla dispersione scolastica (</w:t>
                              </w:r>
                              <w:r>
                                <w:t>D.M. 19/2024) – Avvio della procedura di selezione per attività da svolgere nella sede di Udine, Udine Casa Circondariale, Tolmezzo, Tolmezzo Casa Circondariale</w:t>
                              </w:r>
                            </w:p>
                            <w:p w:rsidR="00C7678C" w:rsidRDefault="00C7678C">
                              <w:pPr>
                                <w:pStyle w:val="Contenutocornice"/>
                                <w:jc w:val="both"/>
                              </w:pPr>
                            </w:p>
                            <w:p w:rsidR="00C7678C" w:rsidRDefault="005C6FDC">
                              <w:pPr>
                                <w:pStyle w:val="Contenutocornice"/>
                                <w:spacing w:before="144" w:after="144" w:line="276" w:lineRule="auto"/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22"/>
                                  <w:u w:val="single"/>
                                  <w:lang w:val="it-IT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22"/>
                                  <w:szCs w:val="22"/>
                                  <w:u w:val="single"/>
                                  <w:lang w:val="it-IT"/>
                                </w:rPr>
                                <w:t>DICHIARAZIONE DI INESISTENZA DI CAUSE DI INCOMPATIBILITA’, DI CONFLITTO DI INTERESSI E DI ASTE</w:t>
                              </w:r>
                              <w: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22"/>
                                  <w:szCs w:val="22"/>
                                  <w:u w:val="single"/>
                                  <w:lang w:val="it-IT"/>
                                </w:rPr>
                                <w:t>NSIONE</w:t>
                              </w:r>
                            </w:p>
                            <w:p w:rsidR="00C7678C" w:rsidRDefault="005C6FDC">
                              <w:pPr>
                                <w:pStyle w:val="Contenutocornice"/>
                                <w:spacing w:before="120" w:after="120"/>
                                <w:contextualSpacing/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  <w:sz w:val="22"/>
                                  <w:lang w:val="it-IT" w:eastAsia="it-IT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  <w:sz w:val="22"/>
                                  <w:szCs w:val="22"/>
                                  <w:lang w:val="it-IT" w:eastAsia="it-IT"/>
                                </w:rPr>
                                <w:t>(resa nelle forme di cui agli artt. 46 e 47 del d.P.R. n. 445 del 28 dicembre 2000)</w:t>
                              </w:r>
                            </w:p>
                            <w:p w:rsidR="00C7678C" w:rsidRDefault="00C7678C">
                              <w:pPr>
                                <w:pStyle w:val="Contenutocornice"/>
                                <w:spacing w:line="252" w:lineRule="auto"/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22"/>
                                </w:rPr>
                              </w:pPr>
                            </w:p>
                            <w:p w:rsidR="00C7678C" w:rsidRDefault="005C6FDC">
                              <w:pPr>
                                <w:pStyle w:val="Contenutocornice"/>
                                <w:tabs>
                                  <w:tab w:val="center" w:pos="4742"/>
                                  <w:tab w:val="left" w:pos="8138"/>
                                </w:tabs>
                                <w:spacing w:before="144" w:after="144" w:line="276" w:lineRule="auto"/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22"/>
                                  <w:u w:val="single"/>
                                  <w:lang w:val="it-IT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22"/>
                                  <w:szCs w:val="22"/>
                                  <w:lang w:val="it-IT"/>
                                </w:rPr>
                                <w:t xml:space="preserve">SELEZIONE PER IL CONFERIMENTO DEGLI INCARICHI INDIVIDUALI  L’AVVISO PROT. N.5197 del 23/05/2025, RELATIVO AL PROGETTO TUTTI A SCUOLA!, IDENTIFICATO DA CODICE CUP </w:t>
                              </w:r>
                              <w: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2"/>
                                  <w:szCs w:val="22"/>
                                </w:rPr>
                                <w:t>B24D21000140006</w:t>
                              </w:r>
                            </w:p>
                          </w:tc>
                        </w:tr>
                      </w:tbl>
                      <w:p w:rsidR="00C7678C" w:rsidRDefault="00C7678C">
                        <w:pPr>
                          <w:pStyle w:val="Contenutocornice"/>
                          <w:rPr>
                            <w:color w:val="000000"/>
                          </w:rPr>
                        </w:pPr>
                      </w:p>
                    </w:txbxContent>
                  </v:textbox>
                  <w10:wrap type="square" anchorx="margin"/>
                </v:rect>
              </w:pict>
            </w:r>
          </w:p>
        </w:tc>
      </w:tr>
    </w:tbl>
    <w:p w:rsidR="00C7678C" w:rsidRDefault="00C7678C">
      <w:pPr>
        <w:spacing w:before="120" w:after="120"/>
        <w:rPr>
          <w:sz w:val="22"/>
          <w:szCs w:val="22"/>
          <w:lang w:val="it-IT"/>
        </w:rPr>
      </w:pPr>
    </w:p>
    <w:p w:rsidR="00C7678C" w:rsidRDefault="005C6FDC">
      <w:pPr>
        <w:jc w:val="both"/>
        <w:rPr>
          <w:bCs/>
          <w:lang w:eastAsia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 xml:space="preserve">Il </w:t>
      </w:r>
      <w:r>
        <w:rPr>
          <w:sz w:val="22"/>
          <w:szCs w:val="22"/>
          <w:lang w:val="it-IT"/>
        </w:rPr>
        <w:t xml:space="preserve">sottoscritto VATRI Graziano nato a VARMO (UD), in data 31/05/1959, C.F. VTRGZN59E31L686G, </w:t>
      </w:r>
      <w:r>
        <w:rPr>
          <w:rFonts w:eastAsia="Calibri"/>
          <w:sz w:val="22"/>
          <w:szCs w:val="22"/>
          <w:lang w:val="it-IT"/>
        </w:rPr>
        <w:t xml:space="preserve">in relazione all’incarico di </w:t>
      </w:r>
      <w:r>
        <w:rPr>
          <w:sz w:val="22"/>
          <w:szCs w:val="22"/>
          <w:lang w:val="it-IT" w:eastAsia="it-IT"/>
        </w:rPr>
        <w:t xml:space="preserve">membro della Commissione </w:t>
      </w:r>
      <w:r>
        <w:rPr>
          <w:sz w:val="22"/>
          <w:szCs w:val="22"/>
          <w:lang w:val="it-IT" w:bidi="it-IT"/>
        </w:rPr>
        <w:t xml:space="preserve">ai fini della valutazione delle domande di partecipazione pervenute in relazione alla </w:t>
      </w:r>
      <w:r>
        <w:t>pr</w:t>
      </w:r>
      <w:r>
        <w:t>ocedura di selezione</w:t>
      </w:r>
      <w:r>
        <w:rPr>
          <w:bCs/>
          <w:lang w:eastAsia="it-IT"/>
        </w:rPr>
        <w:t xml:space="preserve"> </w:t>
      </w:r>
      <w:r>
        <w:t xml:space="preserve"> di docenti interni, interni ad altre istituzioni scolastiche ed esterni per la realizzazione di Percorsi di mentoring e orientamento personalizzato nell’ambito del Piano Nazionale di Ripresa e Resilienza (PNRR) – Riduzione dei divari </w:t>
      </w:r>
      <w:r>
        <w:t>negli apprendimenti e contrasto alla dispersione scolastica (D.M. 19/2024) – Avvio della procedura di selezione per attività da svolgere nella sede di Udine, Udine Casa Circondariale, Tolmezzo, Tolmezzo Casa Circondariale</w:t>
      </w:r>
      <w:r>
        <w:rPr>
          <w:bCs/>
          <w:lang w:eastAsia="it-IT"/>
        </w:rPr>
        <w:t xml:space="preserve">.  </w:t>
      </w:r>
      <w:r>
        <w:rPr>
          <w:sz w:val="22"/>
          <w:szCs w:val="22"/>
        </w:rPr>
        <w:t>(Decreto di nomina prot.n.5780 d</w:t>
      </w:r>
      <w:r>
        <w:rPr>
          <w:sz w:val="22"/>
          <w:szCs w:val="22"/>
        </w:rPr>
        <w:t xml:space="preserve">el 05/06/2025) </w:t>
      </w:r>
    </w:p>
    <w:p w:rsidR="00C7678C" w:rsidRDefault="00C7678C">
      <w:pPr>
        <w:spacing w:before="144" w:after="144" w:line="276" w:lineRule="auto"/>
        <w:jc w:val="both"/>
        <w:rPr>
          <w:bCs/>
        </w:rPr>
      </w:pPr>
    </w:p>
    <w:p w:rsidR="00C7678C" w:rsidRDefault="00C7678C">
      <w:pPr>
        <w:spacing w:line="252" w:lineRule="auto"/>
        <w:jc w:val="both"/>
        <w:rPr>
          <w:rFonts w:asciiTheme="minorHAnsi" w:hAnsiTheme="minorHAnsi" w:cstheme="minorHAnsi"/>
          <w:sz w:val="22"/>
          <w:szCs w:val="22"/>
          <w:lang w:val="it-IT" w:bidi="it-IT"/>
        </w:rPr>
      </w:pPr>
    </w:p>
    <w:p w:rsidR="00C7678C" w:rsidRDefault="005C6FDC">
      <w:pPr>
        <w:spacing w:line="252" w:lineRule="auto"/>
        <w:jc w:val="both"/>
        <w:rPr>
          <w:rFonts w:asciiTheme="minorHAnsi" w:eastAsia="Calibr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it-IT" w:bidi="it-IT"/>
        </w:rPr>
        <w:t>in qualità di</w:t>
      </w:r>
      <w:r>
        <w:rPr>
          <w:rFonts w:asciiTheme="minorHAnsi" w:hAnsiTheme="minorHAnsi" w:cstheme="minorHAnsi"/>
          <w:sz w:val="22"/>
          <w:szCs w:val="22"/>
          <w:lang w:val="it-IT" w:bidi="it-IT"/>
        </w:rPr>
        <w:t>:</w:t>
      </w:r>
    </w:p>
    <w:p w:rsidR="00C7678C" w:rsidRDefault="005C6FDC">
      <w:pPr>
        <w:tabs>
          <w:tab w:val="center" w:pos="1134"/>
        </w:tabs>
        <w:spacing w:before="120" w:after="120"/>
        <w:ind w:left="709" w:right="56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lastRenderedPageBreak/>
        <w:t xml:space="preserve">             Presidente</w:t>
      </w:r>
    </w:p>
    <w:p w:rsidR="00C7678C" w:rsidRDefault="005C6FDC">
      <w:pPr>
        <w:tabs>
          <w:tab w:val="center" w:pos="1134"/>
        </w:tabs>
        <w:spacing w:before="120" w:after="120"/>
        <w:ind w:left="709" w:right="56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 xml:space="preserve">             Componente</w:t>
      </w:r>
    </w:p>
    <w:p w:rsidR="00C7678C" w:rsidRDefault="005C6FDC">
      <w:pPr>
        <w:tabs>
          <w:tab w:val="center" w:pos="1134"/>
        </w:tabs>
        <w:spacing w:before="120" w:after="120"/>
        <w:ind w:left="709" w:right="56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sz w:val="22"/>
          <w:szCs w:val="22"/>
          <w:lang w:val="it-IT"/>
        </w:rPr>
        <w:t>X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         Componente (Segretario);</w:t>
      </w:r>
    </w:p>
    <w:p w:rsidR="00C7678C" w:rsidRDefault="005C6FDC">
      <w:pPr>
        <w:tabs>
          <w:tab w:val="center" w:pos="1134"/>
        </w:tabs>
        <w:spacing w:before="120" w:after="360"/>
        <w:ind w:right="5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***</w:t>
      </w:r>
    </w:p>
    <w:p w:rsidR="00C7678C" w:rsidRDefault="005C6FDC">
      <w:pPr>
        <w:tabs>
          <w:tab w:val="center" w:pos="1134"/>
        </w:tabs>
        <w:spacing w:before="120" w:after="120"/>
        <w:ind w:right="56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VISTA </w:t>
      </w:r>
      <w:r>
        <w:rPr>
          <w:rFonts w:asciiTheme="minorHAnsi" w:hAnsiTheme="minorHAnsi" w:cstheme="minorHAnsi"/>
          <w:sz w:val="22"/>
          <w:szCs w:val="22"/>
          <w:lang w:val="it-IT"/>
        </w:rPr>
        <w:t>la legge 7 agosto 1990, n. 241, recante «</w:t>
      </w:r>
      <w:r>
        <w:rPr>
          <w:rFonts w:asciiTheme="minorHAnsi" w:hAnsiTheme="minorHAnsi" w:cstheme="minorHAnsi"/>
          <w:i/>
          <w:iCs/>
          <w:sz w:val="22"/>
          <w:szCs w:val="22"/>
          <w:lang w:val="it-IT"/>
        </w:rPr>
        <w:t xml:space="preserve">Nuove norme in materia di procedimento amministrativo e di diritto di accesso ai </w:t>
      </w:r>
      <w:r>
        <w:rPr>
          <w:rFonts w:asciiTheme="minorHAnsi" w:hAnsiTheme="minorHAnsi" w:cstheme="minorHAnsi"/>
          <w:i/>
          <w:iCs/>
          <w:sz w:val="22"/>
          <w:szCs w:val="22"/>
          <w:lang w:val="it-IT"/>
        </w:rPr>
        <w:t>documenti amministrativi</w:t>
      </w:r>
      <w:r>
        <w:rPr>
          <w:rFonts w:asciiTheme="minorHAnsi" w:hAnsiTheme="minorHAnsi" w:cstheme="minorHAnsi"/>
          <w:sz w:val="22"/>
          <w:szCs w:val="22"/>
          <w:lang w:val="it-IT"/>
        </w:rPr>
        <w:t>», e in particolare l’art. 6-</w:t>
      </w:r>
      <w:r>
        <w:rPr>
          <w:rFonts w:asciiTheme="minorHAnsi" w:hAnsiTheme="minorHAnsi" w:cstheme="minorHAnsi"/>
          <w:i/>
          <w:iCs/>
          <w:sz w:val="22"/>
          <w:szCs w:val="22"/>
          <w:lang w:val="it-IT"/>
        </w:rPr>
        <w:t>bis</w:t>
      </w:r>
      <w:r>
        <w:rPr>
          <w:rFonts w:asciiTheme="minorHAnsi" w:hAnsiTheme="minorHAnsi" w:cstheme="minorHAnsi"/>
          <w:sz w:val="22"/>
          <w:szCs w:val="22"/>
          <w:lang w:val="it-IT"/>
        </w:rPr>
        <w:t>;</w:t>
      </w:r>
    </w:p>
    <w:p w:rsidR="00C7678C" w:rsidRDefault="005C6FDC">
      <w:pPr>
        <w:tabs>
          <w:tab w:val="center" w:pos="1134"/>
        </w:tabs>
        <w:spacing w:before="120" w:after="120"/>
        <w:ind w:right="56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VISTO </w:t>
      </w:r>
      <w:r>
        <w:rPr>
          <w:rFonts w:asciiTheme="minorHAnsi" w:hAnsiTheme="minorHAnsi" w:cstheme="minorHAnsi"/>
          <w:sz w:val="22"/>
          <w:szCs w:val="22"/>
          <w:lang w:val="it-IT" w:bidi="it-IT"/>
        </w:rPr>
        <w:t xml:space="preserve">il decreto legislativo 30 marzo 2001, n. 165, recante </w:t>
      </w:r>
      <w:r>
        <w:rPr>
          <w:rFonts w:asciiTheme="minorHAnsi" w:hAnsiTheme="minorHAnsi" w:cstheme="minorHAnsi"/>
          <w:sz w:val="22"/>
          <w:szCs w:val="22"/>
          <w:lang w:val="it-IT"/>
        </w:rPr>
        <w:t>«</w:t>
      </w:r>
      <w:r>
        <w:rPr>
          <w:rFonts w:asciiTheme="minorHAnsi" w:hAnsiTheme="minorHAnsi" w:cstheme="minorHAnsi"/>
          <w:i/>
          <w:iCs/>
          <w:sz w:val="22"/>
          <w:szCs w:val="22"/>
          <w:lang w:val="it-IT" w:bidi="it-IT"/>
        </w:rPr>
        <w:t>Norme generali sull’ordinamento del lavoro alle dipendenze delle amministrazioni pubbliche</w:t>
      </w:r>
      <w:r>
        <w:rPr>
          <w:rFonts w:asciiTheme="minorHAnsi" w:hAnsiTheme="minorHAnsi" w:cstheme="minorHAnsi"/>
          <w:sz w:val="22"/>
          <w:szCs w:val="22"/>
          <w:lang w:val="it-IT"/>
        </w:rPr>
        <w:t>»;</w:t>
      </w:r>
    </w:p>
    <w:p w:rsidR="00C7678C" w:rsidRDefault="005C6FDC">
      <w:pPr>
        <w:tabs>
          <w:tab w:val="center" w:pos="1134"/>
        </w:tabs>
        <w:spacing w:before="120" w:after="120"/>
        <w:ind w:right="56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VISTO 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in particolare </w:t>
      </w:r>
      <w:r>
        <w:rPr>
          <w:rFonts w:asciiTheme="minorHAnsi" w:hAnsiTheme="minorHAnsi" w:cstheme="minorHAnsi"/>
          <w:sz w:val="22"/>
          <w:szCs w:val="22"/>
          <w:lang w:val="it-IT" w:eastAsia="it-IT"/>
        </w:rPr>
        <w:t>l’art. 35-</w:t>
      </w:r>
      <w:r>
        <w:rPr>
          <w:rFonts w:asciiTheme="minorHAnsi" w:hAnsiTheme="minorHAnsi" w:cstheme="minorHAnsi"/>
          <w:i/>
          <w:iCs/>
          <w:sz w:val="22"/>
          <w:szCs w:val="22"/>
          <w:lang w:val="it-IT" w:eastAsia="it-IT"/>
        </w:rPr>
        <w:t>bis</w:t>
      </w:r>
      <w:r>
        <w:rPr>
          <w:rFonts w:asciiTheme="minorHAnsi" w:hAnsiTheme="minorHAnsi" w:cstheme="minorHAnsi"/>
          <w:sz w:val="22"/>
          <w:szCs w:val="22"/>
          <w:lang w:val="it-IT" w:eastAsia="it-IT"/>
        </w:rPr>
        <w:t>, commi 1,</w:t>
      </w:r>
      <w:r>
        <w:rPr>
          <w:rFonts w:asciiTheme="minorHAnsi" w:hAnsiTheme="minorHAnsi" w:cstheme="minorHAnsi"/>
          <w:sz w:val="22"/>
          <w:szCs w:val="22"/>
          <w:lang w:val="it-IT" w:eastAsia="it-IT"/>
        </w:rPr>
        <w:t xml:space="preserve"> lett. a), e 2, del suddetto decreto legislativo n. 165/2001, ai sensi del quale </w:t>
      </w:r>
      <w:r>
        <w:rPr>
          <w:rFonts w:asciiTheme="minorHAnsi" w:hAnsiTheme="minorHAnsi" w:cstheme="minorHAnsi"/>
          <w:sz w:val="22"/>
          <w:szCs w:val="22"/>
          <w:lang w:val="it-IT"/>
        </w:rPr>
        <w:t>«</w:t>
      </w:r>
      <w:r>
        <w:rPr>
          <w:rFonts w:asciiTheme="minorHAnsi" w:hAnsiTheme="minorHAnsi" w:cstheme="minorHAnsi"/>
          <w:i/>
          <w:iCs/>
          <w:sz w:val="22"/>
          <w:szCs w:val="22"/>
          <w:lang w:val="it-IT" w:eastAsia="it-IT"/>
        </w:rPr>
        <w:t>1. Coloro che sono stati condannati, anche con sentenza non passata in giudicato, per i reati previsti nel capo I del titolo II del libro secondo del codice penale: a) non po</w:t>
      </w:r>
      <w:r>
        <w:rPr>
          <w:rFonts w:asciiTheme="minorHAnsi" w:hAnsiTheme="minorHAnsi" w:cstheme="minorHAnsi"/>
          <w:i/>
          <w:iCs/>
          <w:sz w:val="22"/>
          <w:szCs w:val="22"/>
          <w:lang w:val="it-IT" w:eastAsia="it-IT"/>
        </w:rPr>
        <w:t>ssono fare parte, anche con compiti di segreteria, di commissioni per l'accesso o la selezione a pubblici impieghi;</w:t>
      </w:r>
      <w:r>
        <w:rPr>
          <w:rFonts w:asciiTheme="minorHAnsi" w:hAnsiTheme="minorHAnsi" w:cstheme="minorHAnsi"/>
          <w:sz w:val="22"/>
          <w:szCs w:val="22"/>
          <w:lang w:val="it-IT" w:eastAsia="it-IT"/>
        </w:rPr>
        <w:t xml:space="preserve"> […] </w:t>
      </w:r>
      <w:r>
        <w:rPr>
          <w:rFonts w:asciiTheme="minorHAnsi" w:hAnsiTheme="minorHAnsi" w:cstheme="minorHAnsi"/>
          <w:i/>
          <w:iCs/>
          <w:sz w:val="22"/>
          <w:szCs w:val="22"/>
          <w:lang w:val="it-IT" w:eastAsia="it-IT"/>
        </w:rPr>
        <w:t>2. La disposizione prevista al comma 1 integra le leggi e regolamenti che disciplinano la formazione di commissioni e la nomina dei rela</w:t>
      </w:r>
      <w:r>
        <w:rPr>
          <w:rFonts w:asciiTheme="minorHAnsi" w:hAnsiTheme="minorHAnsi" w:cstheme="minorHAnsi"/>
          <w:i/>
          <w:iCs/>
          <w:sz w:val="22"/>
          <w:szCs w:val="22"/>
          <w:lang w:val="it-IT" w:eastAsia="it-IT"/>
        </w:rPr>
        <w:t>tivi segretari</w:t>
      </w:r>
      <w:r>
        <w:rPr>
          <w:rFonts w:asciiTheme="minorHAnsi" w:hAnsiTheme="minorHAnsi" w:cstheme="minorHAnsi"/>
          <w:sz w:val="22"/>
          <w:szCs w:val="22"/>
          <w:lang w:val="it-IT"/>
        </w:rPr>
        <w:t>»;</w:t>
      </w:r>
    </w:p>
    <w:p w:rsidR="00C7678C" w:rsidRDefault="005C6FDC">
      <w:pPr>
        <w:tabs>
          <w:tab w:val="center" w:pos="1134"/>
        </w:tabs>
        <w:spacing w:before="120" w:after="120"/>
        <w:ind w:right="56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it-IT"/>
        </w:rPr>
        <w:t>VISTA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it-IT" w:bidi="it-IT"/>
        </w:rPr>
        <w:t xml:space="preserve">la legge 6 novembre 2012, n. 190, recante </w:t>
      </w:r>
      <w:r>
        <w:rPr>
          <w:rFonts w:asciiTheme="minorHAnsi" w:hAnsiTheme="minorHAnsi" w:cstheme="minorHAnsi"/>
          <w:sz w:val="22"/>
          <w:szCs w:val="22"/>
          <w:lang w:val="it-IT"/>
        </w:rPr>
        <w:t>«</w:t>
      </w:r>
      <w:r>
        <w:rPr>
          <w:rFonts w:asciiTheme="minorHAnsi" w:hAnsiTheme="minorHAnsi" w:cstheme="minorHAnsi"/>
          <w:i/>
          <w:iCs/>
          <w:sz w:val="22"/>
          <w:szCs w:val="22"/>
          <w:lang w:val="it-IT" w:bidi="it-IT"/>
        </w:rPr>
        <w:t>Disposizioni per la prevenzione e la repressione della corruzione e dell’illegalità nella pubblica amministrazione</w:t>
      </w:r>
      <w:r>
        <w:rPr>
          <w:rFonts w:asciiTheme="minorHAnsi" w:hAnsiTheme="minorHAnsi" w:cstheme="minorHAnsi"/>
          <w:sz w:val="22"/>
          <w:szCs w:val="22"/>
          <w:lang w:val="it-IT"/>
        </w:rPr>
        <w:t>»;</w:t>
      </w:r>
    </w:p>
    <w:p w:rsidR="00C7678C" w:rsidRDefault="005C6FDC">
      <w:pPr>
        <w:tabs>
          <w:tab w:val="center" w:pos="1134"/>
        </w:tabs>
        <w:spacing w:before="120" w:after="120"/>
        <w:ind w:right="56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it-IT"/>
        </w:rPr>
        <w:t>VISTO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il Codice di comportamento dei dipendenti del Ministero dell’istruz</w:t>
      </w:r>
      <w:r>
        <w:rPr>
          <w:rFonts w:asciiTheme="minorHAnsi" w:hAnsiTheme="minorHAnsi" w:cstheme="minorHAnsi"/>
          <w:sz w:val="22"/>
          <w:szCs w:val="22"/>
          <w:lang w:val="it-IT"/>
        </w:rPr>
        <w:t>ione e del merito, adottato con D.M. del 26 aprile 2022, n. 105;</w:t>
      </w:r>
    </w:p>
    <w:p w:rsidR="00C7678C" w:rsidRDefault="005C6FDC">
      <w:pPr>
        <w:jc w:val="both"/>
        <w:rPr>
          <w:bCs/>
          <w:lang w:eastAsia="it-I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VISTO </w:t>
      </w:r>
      <w:r>
        <w:rPr>
          <w:rFonts w:asciiTheme="minorHAnsi" w:hAnsiTheme="minorHAnsi" w:cstheme="minorHAnsi"/>
          <w:sz w:val="22"/>
          <w:szCs w:val="22"/>
          <w:lang w:val="it-IT"/>
        </w:rPr>
        <w:t>l’Avviso di selezione, prot. n.5197 del 23/05/</w:t>
      </w:r>
      <w:r>
        <w:rPr>
          <w:sz w:val="22"/>
          <w:szCs w:val="22"/>
          <w:lang w:val="it-IT"/>
        </w:rPr>
        <w:t xml:space="preserve">2025   per  la </w:t>
      </w:r>
      <w:r>
        <w:rPr>
          <w:bCs/>
          <w:lang w:eastAsia="it-IT"/>
        </w:rPr>
        <w:t xml:space="preserve">selezione </w:t>
      </w:r>
      <w:r>
        <w:t xml:space="preserve"> di docenti interni, interni ad altre istituzioni scolastiche ed esterni per la realizzazione di Percorsi di mentoring e orientamento personalizzato nell’ambito del Piano Nazionale di Ripresa e Resilienza (PNRR) – Riduzione dei divari negli apprendimenti e</w:t>
      </w:r>
      <w:r>
        <w:t xml:space="preserve"> contrasto alla dispersione scolastica (D.M. 19/2024) – Avvio della procedura di selezione per attività da svolgere nella sede di Udine, Udine Casa Circondariale, Tolmezzo, Tolmezzo Casa Circondariale</w:t>
      </w:r>
    </w:p>
    <w:p w:rsidR="00C7678C" w:rsidRDefault="00C7678C">
      <w:pPr>
        <w:jc w:val="both"/>
        <w:rPr>
          <w:rFonts w:eastAsia="Calibri"/>
          <w:bCs/>
        </w:rPr>
      </w:pPr>
    </w:p>
    <w:p w:rsidR="00C7678C" w:rsidRDefault="00C7678C">
      <w:pPr>
        <w:spacing w:line="252" w:lineRule="auto"/>
        <w:jc w:val="both"/>
      </w:pPr>
    </w:p>
    <w:p w:rsidR="00C7678C" w:rsidRDefault="005C6FDC">
      <w:pPr>
        <w:spacing w:before="120" w:after="120"/>
        <w:jc w:val="center"/>
        <w:outlineLvl w:val="0"/>
        <w:rPr>
          <w:b/>
          <w:sz w:val="22"/>
          <w:szCs w:val="22"/>
          <w:lang w:val="it-IT"/>
        </w:rPr>
      </w:pPr>
      <w:r>
        <w:rPr>
          <w:b/>
          <w:sz w:val="22"/>
          <w:szCs w:val="22"/>
          <w:lang w:val="it-IT"/>
        </w:rPr>
        <w:t>DICHIARA</w:t>
      </w:r>
    </w:p>
    <w:p w:rsidR="00C7678C" w:rsidRDefault="005C6FDC">
      <w:pPr>
        <w:spacing w:before="120" w:after="120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sz w:val="22"/>
          <w:szCs w:val="22"/>
          <w:lang w:val="it-IT"/>
        </w:rPr>
        <w:t>consapevole che la falsità in atti e le dich</w:t>
      </w:r>
      <w:r>
        <w:rPr>
          <w:rFonts w:asciiTheme="minorHAnsi" w:hAnsiTheme="minorHAnsi" w:cstheme="minorHAnsi"/>
          <w:b/>
          <w:sz w:val="22"/>
          <w:szCs w:val="22"/>
          <w:lang w:val="it-IT"/>
        </w:rPr>
        <w:t>iarazioni mendaci sono punite ai sensi del codice penale e delle leggi speciali in materia e che, laddove dovesse emergere la non veridicità di quanto qui dichiarato, si avrà la decadenza dai benefici eventualmente ottenuti ai sensi dell’art. 75 del d.P.R.</w:t>
      </w:r>
      <w:r>
        <w:rPr>
          <w:rFonts w:asciiTheme="minorHAnsi" w:hAnsiTheme="minorHAnsi" w:cstheme="minorHAnsi"/>
          <w:b/>
          <w:sz w:val="22"/>
          <w:szCs w:val="22"/>
          <w:lang w:val="it-IT"/>
        </w:rPr>
        <w:t xml:space="preserve"> n. 445 del 28 dicembre 2000 e l’applicazione di ogni altra sanzione prevista dalla legge, nella predetta qualità, ai sensi e per gli effetti di cui agli artt. 46 e 47 del d.P.R. n. 445 del 28 dicembre 2000:</w:t>
      </w:r>
    </w:p>
    <w:p w:rsidR="00C7678C" w:rsidRDefault="005C6FDC">
      <w:pPr>
        <w:pStyle w:val="Paragrafoelenco"/>
        <w:numPr>
          <w:ilvl w:val="0"/>
          <w:numId w:val="2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non trovarsi in situazione di incompatibilità, a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i sensi di quanto previsto dal d.lgs. n. 39/2013 e dall’art. 53, del d.lgs. n. 165/2001; </w:t>
      </w:r>
    </w:p>
    <w:p w:rsidR="00C7678C" w:rsidRDefault="005C6FDC">
      <w:pPr>
        <w:pStyle w:val="Paragrafoelenco"/>
        <w:spacing w:before="120" w:after="12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ovvero, nel caso in cui sussistano situazioni di incompatibilità, che le stesse sono le seguenti:_____________________________________________________________________</w:t>
      </w:r>
      <w:r>
        <w:rPr>
          <w:rFonts w:asciiTheme="minorHAnsi" w:hAnsiTheme="minorHAnsi" w:cstheme="minorHAnsi"/>
          <w:sz w:val="22"/>
          <w:szCs w:val="22"/>
          <w:lang w:val="it-IT"/>
        </w:rPr>
        <w:t>____________________________________________________________________________________________________________________________________________________________;</w:t>
      </w:r>
    </w:p>
    <w:p w:rsidR="00C7678C" w:rsidRDefault="005C6FDC">
      <w:pPr>
        <w:pStyle w:val="Paragrafoelenco"/>
        <w:numPr>
          <w:ilvl w:val="0"/>
          <w:numId w:val="2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che, ai sensi dell’art. 35-</w:t>
      </w:r>
      <w:r>
        <w:rPr>
          <w:rFonts w:asciiTheme="minorHAnsi" w:hAnsiTheme="minorHAnsi" w:cstheme="minorHAnsi"/>
          <w:i/>
          <w:sz w:val="22"/>
          <w:szCs w:val="22"/>
          <w:lang w:val="it-IT"/>
        </w:rPr>
        <w:t>bis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del d.lgs. n. 165/2001, non ha riportato alcuna condanna, neppure p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ronunciata con sentenza non passata in giudicato, </w:t>
      </w:r>
      <w:r>
        <w:rPr>
          <w:rFonts w:asciiTheme="minorHAnsi" w:eastAsia="Calibri" w:hAnsiTheme="minorHAnsi" w:cstheme="minorHAnsi"/>
          <w:sz w:val="22"/>
          <w:szCs w:val="22"/>
          <w:lang w:val="it-IT" w:eastAsia="it-IT"/>
        </w:rPr>
        <w:t xml:space="preserve">per i delitti </w:t>
      </w:r>
      <w:r>
        <w:rPr>
          <w:rFonts w:asciiTheme="minorHAnsi" w:hAnsiTheme="minorHAnsi" w:cstheme="minorHAnsi"/>
          <w:sz w:val="22"/>
          <w:szCs w:val="22"/>
          <w:lang w:val="it-IT"/>
        </w:rPr>
        <w:t>previsti nel capo I del titolo II del libro secondo del codice penale;</w:t>
      </w:r>
    </w:p>
    <w:p w:rsidR="00C7678C" w:rsidRDefault="005C6FDC">
      <w:pPr>
        <w:pStyle w:val="Paragrafoelenco"/>
        <w:numPr>
          <w:ilvl w:val="0"/>
          <w:numId w:val="2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 xml:space="preserve">di non avere, direttamente o indirettamente, un interesse finanziario, economico o altro interesse personale nel 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procedimento in esame ai sensi e per gli effetti di quanto previsto dal D.M. 26 aprile 2022, n. 105, recante il Codice di Comportamento dei dipendenti del Ministero dell’istruzione e del merito, né di trovarsi in altra condizione di conflitto di interessi 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(neppure potenziale)  ai sensi </w:t>
      </w:r>
      <w:r>
        <w:rPr>
          <w:rFonts w:asciiTheme="minorHAnsi" w:hAnsiTheme="minorHAnsi" w:cstheme="minorHAnsi"/>
          <w:sz w:val="22"/>
          <w:szCs w:val="22"/>
          <w:lang w:val="it-IT"/>
        </w:rPr>
        <w:lastRenderedPageBreak/>
        <w:t>dell’art. 6-</w:t>
      </w:r>
      <w:r>
        <w:rPr>
          <w:rFonts w:asciiTheme="minorHAnsi" w:hAnsiTheme="minorHAnsi" w:cstheme="minorHAnsi"/>
          <w:i/>
          <w:iCs/>
          <w:sz w:val="22"/>
          <w:szCs w:val="22"/>
          <w:lang w:val="it-IT"/>
        </w:rPr>
        <w:t>bis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della legge n. 241/1990. In particolare, che l’assunzione dell’incarico di </w:t>
      </w:r>
      <w:r>
        <w:rPr>
          <w:rFonts w:asciiTheme="minorHAnsi" w:hAnsiTheme="minorHAnsi" w:cstheme="minorHAnsi"/>
          <w:sz w:val="22"/>
          <w:szCs w:val="22"/>
          <w:lang w:val="it-IT" w:eastAsia="it-IT"/>
        </w:rPr>
        <w:t>membro della Commissione esaminatrice</w:t>
      </w:r>
      <w:r>
        <w:rPr>
          <w:rFonts w:asciiTheme="minorHAnsi" w:hAnsiTheme="minorHAnsi" w:cstheme="minorHAnsi"/>
          <w:sz w:val="22"/>
          <w:szCs w:val="22"/>
          <w:lang w:val="it-IT"/>
        </w:rPr>
        <w:t>:</w:t>
      </w:r>
    </w:p>
    <w:p w:rsidR="00C7678C" w:rsidRDefault="005C6FDC">
      <w:pPr>
        <w:pStyle w:val="Paragrafoelenco"/>
        <w:numPr>
          <w:ilvl w:val="0"/>
          <w:numId w:val="3"/>
        </w:numPr>
        <w:spacing w:before="120" w:after="120"/>
        <w:jc w:val="both"/>
        <w:rPr>
          <w:rFonts w:asciiTheme="minorHAnsi" w:eastAsia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non coinvolge interessi propri;</w:t>
      </w:r>
    </w:p>
    <w:p w:rsidR="00C7678C" w:rsidRDefault="005C6FDC">
      <w:pPr>
        <w:pStyle w:val="Paragrafoelenco"/>
        <w:numPr>
          <w:ilvl w:val="0"/>
          <w:numId w:val="3"/>
        </w:numPr>
        <w:spacing w:before="120" w:after="120"/>
        <w:jc w:val="both"/>
        <w:rPr>
          <w:rFonts w:asciiTheme="minorHAnsi" w:eastAsia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 xml:space="preserve">non coinvolge interessi di parenti, affini entro il secondo </w:t>
      </w:r>
      <w:r>
        <w:rPr>
          <w:rFonts w:asciiTheme="minorHAnsi" w:hAnsiTheme="minorHAnsi" w:cstheme="minorHAnsi"/>
          <w:sz w:val="22"/>
          <w:szCs w:val="22"/>
          <w:lang w:val="it-IT"/>
        </w:rPr>
        <w:t>grado, del coniuge o di conviventi, oppure di persone con le quali abbia rapporti di frequentazione abituale;</w:t>
      </w:r>
    </w:p>
    <w:p w:rsidR="00C7678C" w:rsidRDefault="005C6FDC">
      <w:pPr>
        <w:pStyle w:val="Paragrafoelenco"/>
        <w:numPr>
          <w:ilvl w:val="0"/>
          <w:numId w:val="3"/>
        </w:numPr>
        <w:spacing w:before="120" w:after="120"/>
        <w:jc w:val="both"/>
        <w:rPr>
          <w:rFonts w:asciiTheme="minorHAnsi" w:eastAsia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non coinvolge interessi di soggetti od organizzazioni con cui egli o il coniuge abbia causa pendente o grave inimicizia o rapporti di credito o de</w:t>
      </w:r>
      <w:r>
        <w:rPr>
          <w:rFonts w:asciiTheme="minorHAnsi" w:hAnsiTheme="minorHAnsi" w:cstheme="minorHAnsi"/>
          <w:sz w:val="22"/>
          <w:szCs w:val="22"/>
          <w:lang w:val="it-IT"/>
        </w:rPr>
        <w:t>bito significativi;</w:t>
      </w:r>
    </w:p>
    <w:p w:rsidR="00C7678C" w:rsidRDefault="005C6FDC">
      <w:pPr>
        <w:pStyle w:val="Paragrafoelenco"/>
        <w:numPr>
          <w:ilvl w:val="0"/>
          <w:numId w:val="3"/>
        </w:numPr>
        <w:spacing w:before="120" w:after="120"/>
        <w:ind w:left="1134"/>
        <w:jc w:val="both"/>
        <w:rPr>
          <w:rFonts w:asciiTheme="minorHAnsi" w:eastAsia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non coinvolge interessi di soggetti od organizzazioni di cui sia tutore, curatore, procuratore o agente, titolare effettivo, ovvero di enti, associazioni anche non riconosciute, comitati, società o stabilimenti di cui sia amministratore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o gerente o dirigente;</w:t>
      </w:r>
    </w:p>
    <w:p w:rsidR="00C7678C" w:rsidRDefault="005C6FDC">
      <w:pPr>
        <w:pStyle w:val="Paragrafoelenco"/>
        <w:numPr>
          <w:ilvl w:val="0"/>
          <w:numId w:val="2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di aver preso piena cognizione del D.M. 26 aprile 2022, n. 105, recante il Codice di Comportamento dei dipendenti del Ministero dell’istruzione e del merito;</w:t>
      </w:r>
    </w:p>
    <w:p w:rsidR="00C7678C" w:rsidRDefault="005C6FDC">
      <w:pPr>
        <w:pStyle w:val="Paragrafoelenco"/>
        <w:numPr>
          <w:ilvl w:val="0"/>
          <w:numId w:val="2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di impegnarsi a comunicare tempestivamente all’Istituzione scolastica even</w:t>
      </w:r>
      <w:r>
        <w:rPr>
          <w:rFonts w:asciiTheme="minorHAnsi" w:hAnsiTheme="minorHAnsi" w:cstheme="minorHAnsi"/>
          <w:sz w:val="22"/>
          <w:szCs w:val="22"/>
          <w:lang w:val="it-IT"/>
        </w:rPr>
        <w:t>tuali variazioni che dovessero intervenire nel corso dello svolgimento dell’incarico;</w:t>
      </w:r>
    </w:p>
    <w:p w:rsidR="00C7678C" w:rsidRDefault="005C6FDC">
      <w:pPr>
        <w:pStyle w:val="Paragrafoelenco"/>
        <w:numPr>
          <w:ilvl w:val="0"/>
          <w:numId w:val="2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di impegnarsi altresì a comunicare all’Istituzione scolastica qualsiasi altra circostanza sopravvenuta di carattere ostativo rispetto all’espletamento dell’incarico;</w:t>
      </w:r>
    </w:p>
    <w:p w:rsidR="00C7678C" w:rsidRDefault="005C6FDC">
      <w:pPr>
        <w:pStyle w:val="Paragrafoelenco"/>
        <w:numPr>
          <w:ilvl w:val="0"/>
          <w:numId w:val="2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di e</w:t>
      </w:r>
      <w:r>
        <w:rPr>
          <w:rFonts w:asciiTheme="minorHAnsi" w:hAnsiTheme="minorHAnsi" w:cstheme="minorHAnsi"/>
          <w:sz w:val="22"/>
          <w:szCs w:val="22"/>
          <w:lang w:val="it-IT"/>
        </w:rPr>
        <w:t>ssere stato informato, ai sensi dell’art. 13 del Regolamento (UE) 2016/679 del Parlamento europeo e del Consiglio del 27 aprile 2016 e del decreto legislativo 30 giugno 2003, n. 196, circa il trattamento dei dati personali raccolti e, in particolare, che t</w:t>
      </w:r>
      <w:r>
        <w:rPr>
          <w:rFonts w:asciiTheme="minorHAnsi" w:hAnsiTheme="minorHAnsi" w:cstheme="minorHAnsi"/>
          <w:sz w:val="22"/>
          <w:szCs w:val="22"/>
          <w:lang w:val="it-IT"/>
        </w:rPr>
        <w:t>ali dati saranno trattati, anche con strumenti informatici, esclusivamente per le finalità per le quali le presenti dichiarazioni vengono rese e fornisce il relativo consenso.</w:t>
      </w:r>
    </w:p>
    <w:p w:rsidR="00C7678C" w:rsidRDefault="005C6FDC">
      <w:pPr>
        <w:pStyle w:val="Corpodeltesto21"/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Udine, 10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 xml:space="preserve">/06/2025       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IL </w:t>
      </w:r>
      <w:r>
        <w:rPr>
          <w:rFonts w:asciiTheme="minorHAnsi" w:eastAsia="Calibri" w:hAnsiTheme="minorHAnsi" w:cstheme="minorHAnsi"/>
          <w:sz w:val="22"/>
          <w:szCs w:val="22"/>
        </w:rPr>
        <w:t xml:space="preserve"> DICHIARANTE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</w:t>
      </w:r>
      <w:bookmarkStart w:id="1" w:name="_Hlk86072743"/>
      <w:r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</w:t>
      </w:r>
    </w:p>
    <w:p w:rsidR="00C7678C" w:rsidRDefault="005C6FDC">
      <w:pPr>
        <w:spacing w:before="120" w:after="120"/>
        <w:ind w:left="495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 xml:space="preserve">                              ____________________________</w:t>
      </w:r>
      <w:bookmarkEnd w:id="1"/>
    </w:p>
    <w:p w:rsidR="00C7678C" w:rsidRDefault="005C6FDC">
      <w:pPr>
        <w:spacing w:before="120" w:after="120"/>
        <w:jc w:val="both"/>
        <w:outlineLvl w:val="0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sz w:val="22"/>
          <w:szCs w:val="22"/>
          <w:u w:val="single"/>
          <w:lang w:val="it-IT"/>
        </w:rPr>
        <w:t>Allegato</w:t>
      </w:r>
      <w:r>
        <w:rPr>
          <w:rFonts w:asciiTheme="minorHAnsi" w:hAnsiTheme="minorHAnsi" w:cstheme="minorHAnsi"/>
          <w:sz w:val="22"/>
          <w:szCs w:val="22"/>
          <w:lang w:val="it-IT"/>
        </w:rPr>
        <w:t>:</w:t>
      </w:r>
    </w:p>
    <w:p w:rsidR="00C7678C" w:rsidRDefault="005C6FDC">
      <w:pPr>
        <w:numPr>
          <w:ilvl w:val="0"/>
          <w:numId w:val="1"/>
        </w:numPr>
        <w:tabs>
          <w:tab w:val="left" w:pos="360"/>
        </w:tabs>
        <w:spacing w:before="120" w:after="120"/>
        <w:ind w:left="360" w:hanging="360"/>
        <w:jc w:val="both"/>
        <w:rPr>
          <w:rFonts w:asciiTheme="minorHAnsi" w:hAnsiTheme="minorHAnsi" w:cstheme="minorHAnsi"/>
          <w:i/>
          <w:sz w:val="22"/>
          <w:szCs w:val="22"/>
          <w:lang w:val="it-IT"/>
        </w:rPr>
      </w:pPr>
      <w:r>
        <w:rPr>
          <w:rFonts w:asciiTheme="minorHAnsi" w:hAnsiTheme="minorHAnsi" w:cstheme="minorHAnsi"/>
          <w:i/>
          <w:sz w:val="22"/>
          <w:szCs w:val="22"/>
          <w:lang w:val="it-IT"/>
        </w:rPr>
        <w:t>[eventuale, ove il documento non sia sottoscritto digitalmente] copia firmata del documento di identità del sottoscrittore, in corso di validità.</w:t>
      </w:r>
    </w:p>
    <w:sectPr w:rsidR="00C7678C">
      <w:headerReference w:type="default" r:id="rId13"/>
      <w:footerReference w:type="default" r:id="rId14"/>
      <w:pgSz w:w="11906" w:h="16838"/>
      <w:pgMar w:top="1417" w:right="1134" w:bottom="1134" w:left="1134" w:header="426" w:footer="29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5C6FDC">
      <w:r>
        <w:separator/>
      </w:r>
    </w:p>
  </w:endnote>
  <w:endnote w:type="continuationSeparator" w:id="0">
    <w:p w:rsidR="00000000" w:rsidRDefault="005C6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8908856"/>
      <w:docPartObj>
        <w:docPartGallery w:val="Page Numbers (Bottom of Page)"/>
        <w:docPartUnique/>
      </w:docPartObj>
    </w:sdtPr>
    <w:sdtEndPr/>
    <w:sdtContent>
      <w:p w:rsidR="00C7678C" w:rsidRDefault="005C6FDC">
        <w:pPr>
          <w:pStyle w:val="Pidipagin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noProof/>
            <w:sz w:val="20"/>
            <w:szCs w:val="20"/>
          </w:rPr>
          <w:drawing>
            <wp:anchor distT="0" distB="0" distL="0" distR="0" simplePos="0" relativeHeight="4" behindDoc="1" locked="0" layoutInCell="1" allowOverlap="1">
              <wp:simplePos x="0" y="0"/>
              <wp:positionH relativeFrom="column">
                <wp:posOffset>-287655</wp:posOffset>
              </wp:positionH>
              <wp:positionV relativeFrom="paragraph">
                <wp:posOffset>217170</wp:posOffset>
              </wp:positionV>
              <wp:extent cx="6744335" cy="282575"/>
              <wp:effectExtent l="0" t="0" r="0" b="0"/>
              <wp:wrapNone/>
              <wp:docPr id="5" name="FUTURA_INLINEA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FUTURA_INLINEA.pn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744335" cy="2825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20"/>
            <w:szCs w:val="20"/>
          </w:rPr>
          <w:instrText>PAGE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>3</w:t>
        </w:r>
        <w:r>
          <w:rPr>
            <w:sz w:val="20"/>
            <w:szCs w:val="20"/>
          </w:rPr>
          <w:fldChar w:fldCharType="end"/>
        </w:r>
      </w:p>
      <w:p w:rsidR="00C7678C" w:rsidRDefault="00C7678C">
        <w:pPr>
          <w:pStyle w:val="Pidipagina"/>
          <w:jc w:val="center"/>
          <w:rPr>
            <w:sz w:val="20"/>
            <w:szCs w:val="20"/>
          </w:rPr>
        </w:pPr>
      </w:p>
      <w:p w:rsidR="00C7678C" w:rsidRDefault="005C6FDC">
        <w:pPr>
          <w:pStyle w:val="Pidipagina"/>
          <w:jc w:val="center"/>
        </w:pPr>
      </w:p>
    </w:sdtContent>
  </w:sdt>
  <w:p w:rsidR="00C7678C" w:rsidRDefault="00C7678C">
    <w:pPr>
      <w:pStyle w:val="Pidipagin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5C6FDC">
      <w:r>
        <w:separator/>
      </w:r>
    </w:p>
  </w:footnote>
  <w:footnote w:type="continuationSeparator" w:id="0">
    <w:p w:rsidR="00000000" w:rsidRDefault="005C6F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678C" w:rsidRDefault="00C7678C"/>
  <w:p w:rsidR="00C7678C" w:rsidRDefault="00C7678C">
    <w:pPr>
      <w:tabs>
        <w:tab w:val="left" w:pos="2617"/>
      </w:tabs>
      <w:spacing w:line="160" w:lineRule="atLeast"/>
      <w:ind w:right="-567"/>
      <w:rPr>
        <w:rFonts w:ascii="Kunstler Script" w:hAnsi="Kunstler Script"/>
        <w:i/>
        <w:iCs/>
        <w:lang w:val="it-IT"/>
      </w:rPr>
    </w:pPr>
    <w:bookmarkStart w:id="2" w:name="_Hlk50014637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161839"/>
    <w:multiLevelType w:val="multilevel"/>
    <w:tmpl w:val="D4B81AB6"/>
    <w:lvl w:ilvl="0">
      <w:start w:val="1"/>
      <w:numFmt w:val="bullet"/>
      <w:lvlText w:val=""/>
      <w:lvlJc w:val="left"/>
      <w:pPr>
        <w:ind w:left="0" w:firstLine="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BA61081"/>
    <w:multiLevelType w:val="multilevel"/>
    <w:tmpl w:val="C07C04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B9F6766"/>
    <w:multiLevelType w:val="multilevel"/>
    <w:tmpl w:val="15DE32A0"/>
    <w:lvl w:ilvl="0">
      <w:start w:val="1"/>
      <w:numFmt w:val="lowerRoman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DEB6B55"/>
    <w:multiLevelType w:val="multilevel"/>
    <w:tmpl w:val="C7CC86D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678C"/>
    <w:rsid w:val="005C6FDC"/>
    <w:rsid w:val="00C7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B70837"/>
  <w15:docId w15:val="{F8E41FDE-4E2C-4706-A008-4270A9D9B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678E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olo1">
    <w:name w:val="heading 1"/>
    <w:basedOn w:val="Normale"/>
    <w:next w:val="Normale"/>
    <w:link w:val="Titolo1Carattere"/>
    <w:qFormat/>
    <w:rsid w:val="002C0B2B"/>
    <w:pPr>
      <w:keepNext/>
      <w:tabs>
        <w:tab w:val="left" w:pos="4395"/>
      </w:tabs>
      <w:jc w:val="both"/>
      <w:textAlignment w:val="baseline"/>
      <w:outlineLvl w:val="0"/>
    </w:pPr>
    <w:rPr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2C0B2B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C0B2B"/>
  </w:style>
  <w:style w:type="character" w:customStyle="1" w:styleId="Titolo1Carattere">
    <w:name w:val="Titolo 1 Carattere"/>
    <w:basedOn w:val="Carpredefinitoparagrafo"/>
    <w:link w:val="Titolo1"/>
    <w:qFormat/>
    <w:rsid w:val="002C0B2B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llegamentoInternet">
    <w:name w:val="Collegamento Internet"/>
    <w:basedOn w:val="Carpredefinitoparagrafo"/>
    <w:uiPriority w:val="99"/>
    <w:semiHidden/>
    <w:unhideWhenUsed/>
    <w:rsid w:val="00381DF9"/>
    <w:rPr>
      <w:color w:val="0000FF"/>
      <w:u w:val="single"/>
    </w:rPr>
  </w:style>
  <w:style w:type="character" w:customStyle="1" w:styleId="provvnumcomma">
    <w:name w:val="provv_numcomma"/>
    <w:basedOn w:val="Carpredefinitoparagrafo"/>
    <w:qFormat/>
    <w:rsid w:val="00381DF9"/>
  </w:style>
  <w:style w:type="character" w:customStyle="1" w:styleId="linkneltesto">
    <w:name w:val="link_nel_testo"/>
    <w:basedOn w:val="Carpredefinitoparagrafo"/>
    <w:qFormat/>
    <w:rsid w:val="003525FD"/>
    <w:rPr>
      <w:i/>
      <w:iCs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F01558"/>
    <w:rPr>
      <w:rFonts w:ascii="Times New Roman" w:eastAsia="Calibri" w:hAnsi="Times New Roman" w:cs="Times New Roman"/>
      <w:sz w:val="20"/>
      <w:szCs w:val="20"/>
      <w:lang w:eastAsia="it-IT"/>
    </w:rPr>
  </w:style>
  <w:style w:type="character" w:styleId="Rimandocommento">
    <w:name w:val="annotation reference"/>
    <w:uiPriority w:val="99"/>
    <w:semiHidden/>
    <w:unhideWhenUsed/>
    <w:qFormat/>
    <w:rsid w:val="00F01558"/>
    <w:rPr>
      <w:sz w:val="16"/>
      <w:szCs w:val="16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5A3C41"/>
    <w:rPr>
      <w:rFonts w:ascii="Times New Roman" w:hAnsi="Times New Roman" w:cs="Times New Roman"/>
      <w:sz w:val="23"/>
      <w:szCs w:val="23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270874"/>
    <w:rPr>
      <w:rFonts w:ascii="Segoe UI" w:eastAsia="Times New Roman" w:hAnsi="Segoe UI" w:cs="Segoe UI"/>
      <w:sz w:val="18"/>
      <w:szCs w:val="18"/>
      <w:lang w:val="en-U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rsid w:val="005A3C41"/>
    <w:rPr>
      <w:rFonts w:eastAsiaTheme="minorHAnsi"/>
      <w:sz w:val="23"/>
      <w:szCs w:val="23"/>
      <w:lang w:val="it-IT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2C0B2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2C0B2B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9678E9"/>
    <w:pPr>
      <w:ind w:left="720"/>
      <w:contextualSpacing/>
    </w:pPr>
  </w:style>
  <w:style w:type="paragraph" w:customStyle="1" w:styleId="provvr0">
    <w:name w:val="provv_r0"/>
    <w:basedOn w:val="Normale"/>
    <w:qFormat/>
    <w:rsid w:val="00381DF9"/>
    <w:pPr>
      <w:spacing w:beforeAutospacing="1" w:afterAutospacing="1"/>
      <w:jc w:val="both"/>
    </w:pPr>
    <w:rPr>
      <w:lang w:val="it-IT" w:eastAsia="it-IT"/>
    </w:rPr>
  </w:style>
  <w:style w:type="paragraph" w:styleId="Testocommento">
    <w:name w:val="annotation text"/>
    <w:basedOn w:val="Normale"/>
    <w:link w:val="TestocommentoCarattere"/>
    <w:uiPriority w:val="99"/>
    <w:semiHidden/>
    <w:qFormat/>
    <w:rsid w:val="00F01558"/>
    <w:rPr>
      <w:rFonts w:eastAsia="Calibri"/>
      <w:sz w:val="20"/>
      <w:szCs w:val="20"/>
      <w:lang w:val="it-IT" w:eastAsia="it-IT"/>
    </w:rPr>
  </w:style>
  <w:style w:type="paragraph" w:customStyle="1" w:styleId="Corpodeltesto21">
    <w:name w:val="Corpo del testo 21"/>
    <w:basedOn w:val="Normale"/>
    <w:qFormat/>
    <w:rsid w:val="00F01558"/>
    <w:pPr>
      <w:jc w:val="both"/>
      <w:textAlignment w:val="baseline"/>
    </w:pPr>
    <w:rPr>
      <w:rFonts w:ascii="Book Antiqua" w:hAnsi="Book Antiqua"/>
      <w:szCs w:val="20"/>
      <w:lang w:val="it-IT" w:eastAsia="it-IT"/>
    </w:rPr>
  </w:style>
  <w:style w:type="paragraph" w:styleId="Revisione">
    <w:name w:val="Revision"/>
    <w:uiPriority w:val="99"/>
    <w:semiHidden/>
    <w:qFormat/>
    <w:rsid w:val="0069111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270874"/>
    <w:rPr>
      <w:rFonts w:ascii="Segoe UI" w:hAnsi="Segoe UI" w:cs="Segoe UI"/>
      <w:sz w:val="18"/>
      <w:szCs w:val="18"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rsid w:val="00927DA6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piaudine.edu.i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UDMM098007@pec.istruzione.gov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DMM098007@istruzione.it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30429-F85B-4D5E-BBE7-B5165D6BC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1042</Words>
  <Characters>5944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Vogric</dc:creator>
  <dc:description/>
  <cp:lastModifiedBy>Graziano Vatri</cp:lastModifiedBy>
  <cp:revision>5</cp:revision>
  <cp:lastPrinted>2025-06-10T10:41:00Z</cp:lastPrinted>
  <dcterms:created xsi:type="dcterms:W3CDTF">2025-06-10T10:40:00Z</dcterms:created>
  <dcterms:modified xsi:type="dcterms:W3CDTF">2025-06-10T10:46:00Z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